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F" w:rsidRPr="00230B25" w:rsidRDefault="00D36B4F" w:rsidP="00D36B4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D36B4F" w:rsidRPr="00230B25" w:rsidRDefault="00D36B4F" w:rsidP="00D36B4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D36B4F" w:rsidRPr="00230B25" w:rsidRDefault="00D36B4F" w:rsidP="00D36B4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D36B4F" w:rsidRPr="00230B25" w:rsidRDefault="00D36B4F" w:rsidP="00D36B4F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36B4F" w:rsidRPr="00230B25" w:rsidTr="00DD71E9">
        <w:trPr>
          <w:trHeight w:val="2252"/>
        </w:trPr>
        <w:tc>
          <w:tcPr>
            <w:tcW w:w="5268" w:type="dxa"/>
          </w:tcPr>
          <w:p w:rsidR="00D36B4F" w:rsidRDefault="00D36B4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36B4F" w:rsidRDefault="00D36B4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36B4F" w:rsidRDefault="00D36B4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36B4F" w:rsidRDefault="00D36B4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D36B4F" w:rsidRDefault="00D36B4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D36B4F" w:rsidRDefault="00D36B4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36B4F" w:rsidRDefault="00D36B4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36B4F" w:rsidRDefault="00D36B4F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A049B">
        <w:rPr>
          <w:rFonts w:ascii="Times New Roman" w:hAnsi="Times New Roman" w:cs="Times New Roman"/>
          <w:b/>
          <w:bCs/>
          <w:sz w:val="28"/>
          <w:szCs w:val="28"/>
        </w:rPr>
        <w:t xml:space="preserve">42.03.02 </w:t>
      </w:r>
      <w:r w:rsidR="005D734E" w:rsidRPr="005D734E">
        <w:rPr>
          <w:rFonts w:ascii="Times New Roman" w:hAnsi="Times New Roman" w:cs="Times New Roman"/>
          <w:bCs/>
          <w:sz w:val="28"/>
          <w:szCs w:val="28"/>
        </w:rPr>
        <w:t>Журналистика</w:t>
      </w:r>
    </w:p>
    <w:p w:rsidR="005D734E" w:rsidRPr="00E17427" w:rsidRDefault="00230B25" w:rsidP="00E17427">
      <w:pPr>
        <w:suppressAutoHyphens/>
        <w:jc w:val="both"/>
        <w:rPr>
          <w:rFonts w:eastAsia="Courier New"/>
          <w:b/>
          <w:sz w:val="24"/>
          <w:szCs w:val="24"/>
          <w:lang w:bidi="ru-RU"/>
        </w:rPr>
      </w:pPr>
      <w:r w:rsidRPr="00E17427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="005D734E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E17427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Средства массовой информации в сфере мультимедиа, печати, теле-и радиовещания</w:t>
      </w:r>
      <w:r w:rsidR="005D734E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4F" w:rsidRDefault="00D36B4F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D36B4F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отношения к родной земле, природным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Финансирование воспитательной деятельности обеспечивает условия для решения задач, обозначенных в настоящей Программе и государственной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воспитательного процесса Академия располагает материально-технической базой, соответствующей противопожарным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F1B5A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DF1B5A">
        <w:rPr>
          <w:b w:val="0"/>
          <w:sz w:val="28"/>
          <w:szCs w:val="28"/>
          <w:shd w:val="clear" w:color="auto" w:fill="FFFFFF"/>
        </w:rPr>
        <w:t>;</w:t>
      </w:r>
      <w:r w:rsidR="00052668" w:rsidRPr="00052668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052668" w:rsidRPr="00052668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DF1B5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DF1B5A">
        <w:rPr>
          <w:b w:val="0"/>
          <w:sz w:val="28"/>
          <w:szCs w:val="28"/>
        </w:rPr>
        <w:t>«ОРТР</w:t>
      </w:r>
      <w:r w:rsidRPr="00DF1B5A">
        <w:rPr>
          <w:b w:val="0"/>
          <w:sz w:val="28"/>
          <w:szCs w:val="28"/>
        </w:rPr>
        <w:t xml:space="preserve">К-12 КАНАЛ» (АО «Омские Медиа»), </w:t>
      </w:r>
      <w:r w:rsidRPr="00DF1B5A">
        <w:rPr>
          <w:rFonts w:eastAsiaTheme="minorHAnsi"/>
          <w:b w:val="0"/>
          <w:bCs w:val="0"/>
          <w:sz w:val="28"/>
          <w:szCs w:val="28"/>
          <w:lang w:eastAsia="en-US"/>
        </w:rPr>
        <w:t>телеканал "ОбКом ТВ"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5F3B3B" w:rsidRPr="00DF1B5A" w:rsidRDefault="00052668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E4" w:rsidRDefault="001D00E4" w:rsidP="009C1578">
      <w:pPr>
        <w:spacing w:after="0" w:line="240" w:lineRule="auto"/>
      </w:pPr>
      <w:r>
        <w:separator/>
      </w:r>
    </w:p>
  </w:endnote>
  <w:endnote w:type="continuationSeparator" w:id="1">
    <w:p w:rsidR="001D00E4" w:rsidRDefault="001D00E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E4" w:rsidRDefault="001D00E4" w:rsidP="009C1578">
      <w:pPr>
        <w:spacing w:after="0" w:line="240" w:lineRule="auto"/>
      </w:pPr>
      <w:r>
        <w:separator/>
      </w:r>
    </w:p>
  </w:footnote>
  <w:footnote w:type="continuationSeparator" w:id="1">
    <w:p w:rsidR="001D00E4" w:rsidRDefault="001D00E4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52668"/>
    <w:rsid w:val="00052C17"/>
    <w:rsid w:val="000B2A33"/>
    <w:rsid w:val="000D66EE"/>
    <w:rsid w:val="000D7800"/>
    <w:rsid w:val="001669C4"/>
    <w:rsid w:val="001D00E4"/>
    <w:rsid w:val="00230B25"/>
    <w:rsid w:val="00240D3C"/>
    <w:rsid w:val="002420E0"/>
    <w:rsid w:val="002B00B8"/>
    <w:rsid w:val="003067D5"/>
    <w:rsid w:val="00345067"/>
    <w:rsid w:val="003C0A6C"/>
    <w:rsid w:val="00423919"/>
    <w:rsid w:val="004C73E6"/>
    <w:rsid w:val="005414FD"/>
    <w:rsid w:val="00544808"/>
    <w:rsid w:val="005D734E"/>
    <w:rsid w:val="005F3B3B"/>
    <w:rsid w:val="0067749D"/>
    <w:rsid w:val="006A1A3F"/>
    <w:rsid w:val="00776F0F"/>
    <w:rsid w:val="007A049B"/>
    <w:rsid w:val="007A5807"/>
    <w:rsid w:val="00802186"/>
    <w:rsid w:val="00832E45"/>
    <w:rsid w:val="0088436F"/>
    <w:rsid w:val="008E260A"/>
    <w:rsid w:val="00993C83"/>
    <w:rsid w:val="00996F0B"/>
    <w:rsid w:val="009C1578"/>
    <w:rsid w:val="009C79B5"/>
    <w:rsid w:val="00A146EC"/>
    <w:rsid w:val="00AE59E8"/>
    <w:rsid w:val="00B210E4"/>
    <w:rsid w:val="00BE09CD"/>
    <w:rsid w:val="00CF132D"/>
    <w:rsid w:val="00D36B4F"/>
    <w:rsid w:val="00D57E80"/>
    <w:rsid w:val="00DF1B5A"/>
    <w:rsid w:val="00E17427"/>
    <w:rsid w:val="00E86AEA"/>
    <w:rsid w:val="00EB4956"/>
    <w:rsid w:val="00EB70C5"/>
    <w:rsid w:val="00F043C6"/>
    <w:rsid w:val="00F95AFB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66E9-9A70-4E18-81D8-4BD9BDB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5</cp:revision>
  <cp:lastPrinted>2021-08-23T03:46:00Z</cp:lastPrinted>
  <dcterms:created xsi:type="dcterms:W3CDTF">2022-07-20T10:34:00Z</dcterms:created>
  <dcterms:modified xsi:type="dcterms:W3CDTF">2023-04-17T07:48:00Z</dcterms:modified>
</cp:coreProperties>
</file>